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6BEA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АВТОНОМНЫЙ ОКРУГ - ЮГРА</w:t>
      </w:r>
    </w:p>
    <w:p w14:paraId="5C80DE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РАЙОН</w:t>
      </w:r>
    </w:p>
    <w:p w14:paraId="56EE576C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МУНИЦИПАЛЬНОЕ ОБРАЗОВАНИЕ</w:t>
      </w:r>
    </w:p>
    <w:p w14:paraId="109CA4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СЕЛЬСКОЕ ПОСЕЛЕНИЕ ЦИНГАЛЫ</w:t>
      </w:r>
    </w:p>
    <w:p w14:paraId="64691D69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</w:p>
    <w:p w14:paraId="2F9A1FCF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caps/>
          <w:sz w:val="28"/>
          <w:szCs w:val="22"/>
          <w:lang w:eastAsia="ru-RU"/>
        </w:rPr>
        <w:t>Администрация</w:t>
      </w:r>
      <w:r w:rsidRPr="00404DF2">
        <w:rPr>
          <w:bCs/>
          <w:sz w:val="28"/>
          <w:szCs w:val="22"/>
          <w:lang w:eastAsia="ru-RU"/>
        </w:rPr>
        <w:t xml:space="preserve"> СЕЛЬСКОГО ПОСЕЛЕНИЯ</w:t>
      </w:r>
    </w:p>
    <w:p w14:paraId="46C319CC" w14:textId="77777777" w:rsidR="00404DF2" w:rsidRPr="00404DF2" w:rsidRDefault="00404DF2" w:rsidP="00404DF2">
      <w:pPr>
        <w:suppressAutoHyphens w:val="0"/>
        <w:jc w:val="center"/>
        <w:rPr>
          <w:b/>
          <w:bCs/>
          <w:sz w:val="28"/>
          <w:szCs w:val="22"/>
          <w:lang w:eastAsia="ru-RU"/>
        </w:rPr>
      </w:pPr>
    </w:p>
    <w:p w14:paraId="45C17988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sz w:val="28"/>
          <w:szCs w:val="22"/>
          <w:lang w:eastAsia="ru-RU"/>
        </w:rPr>
        <w:t>ПОСТАНОВЛЕНИЕ</w:t>
      </w:r>
    </w:p>
    <w:p w14:paraId="2A6028C1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</w:p>
    <w:p w14:paraId="46083F7E" w14:textId="75C885C4" w:rsidR="00404DF2" w:rsidRPr="00404DF2" w:rsidRDefault="0039045D" w:rsidP="00404DF2">
      <w:pPr>
        <w:suppressAutoHyphens w:val="0"/>
        <w:rPr>
          <w:sz w:val="28"/>
          <w:szCs w:val="22"/>
          <w:lang w:eastAsia="ru-RU"/>
        </w:rPr>
      </w:pPr>
      <w:r>
        <w:rPr>
          <w:spacing w:val="-4"/>
          <w:sz w:val="28"/>
          <w:szCs w:val="22"/>
          <w:lang w:eastAsia="ru-RU"/>
        </w:rPr>
        <w:t xml:space="preserve">от </w:t>
      </w:r>
      <w:r w:rsidR="00AA1B58">
        <w:rPr>
          <w:spacing w:val="-4"/>
          <w:sz w:val="28"/>
          <w:szCs w:val="22"/>
          <w:lang w:eastAsia="ru-RU"/>
        </w:rPr>
        <w:t>17</w:t>
      </w:r>
      <w:r>
        <w:rPr>
          <w:spacing w:val="-4"/>
          <w:sz w:val="28"/>
          <w:szCs w:val="22"/>
          <w:lang w:eastAsia="ru-RU"/>
        </w:rPr>
        <w:t>.</w:t>
      </w:r>
      <w:r w:rsidR="00AA1B58">
        <w:rPr>
          <w:spacing w:val="-4"/>
          <w:sz w:val="28"/>
          <w:szCs w:val="22"/>
          <w:lang w:eastAsia="ru-RU"/>
        </w:rPr>
        <w:t>05</w:t>
      </w:r>
      <w:r w:rsidR="00404DF2" w:rsidRPr="00404DF2">
        <w:rPr>
          <w:spacing w:val="-4"/>
          <w:sz w:val="28"/>
          <w:szCs w:val="22"/>
          <w:lang w:eastAsia="ru-RU"/>
        </w:rPr>
        <w:t>.202</w:t>
      </w:r>
      <w:r w:rsidR="00AA1B58">
        <w:rPr>
          <w:spacing w:val="-4"/>
          <w:sz w:val="28"/>
          <w:szCs w:val="22"/>
          <w:lang w:eastAsia="ru-RU"/>
        </w:rPr>
        <w:t>4</w:t>
      </w:r>
      <w:r w:rsidR="00404DF2" w:rsidRPr="00404DF2">
        <w:rPr>
          <w:rFonts w:ascii="Arial" w:cs="Arial"/>
          <w:sz w:val="28"/>
          <w:szCs w:val="22"/>
          <w:lang w:eastAsia="ru-RU"/>
        </w:rPr>
        <w:tab/>
        <w:t xml:space="preserve">                                                                          </w:t>
      </w:r>
      <w:r w:rsidR="00B0019A">
        <w:rPr>
          <w:rFonts w:ascii="Arial" w:cs="Arial"/>
          <w:sz w:val="28"/>
          <w:szCs w:val="22"/>
          <w:lang w:eastAsia="ru-RU"/>
        </w:rPr>
        <w:t xml:space="preserve">        </w:t>
      </w:r>
      <w:r w:rsidR="00404DF2" w:rsidRPr="00404DF2">
        <w:rPr>
          <w:rFonts w:ascii="Arial" w:cs="Arial"/>
          <w:sz w:val="28"/>
          <w:szCs w:val="22"/>
          <w:lang w:eastAsia="ru-RU"/>
        </w:rPr>
        <w:t xml:space="preserve">       </w:t>
      </w:r>
      <w:r>
        <w:rPr>
          <w:rFonts w:ascii="Arial" w:cs="Arial"/>
          <w:sz w:val="28"/>
          <w:szCs w:val="22"/>
          <w:lang w:eastAsia="ru-RU"/>
        </w:rPr>
        <w:t xml:space="preserve">     </w:t>
      </w:r>
      <w:r>
        <w:rPr>
          <w:sz w:val="28"/>
          <w:szCs w:val="22"/>
          <w:lang w:eastAsia="ru-RU"/>
        </w:rPr>
        <w:t xml:space="preserve">№ </w:t>
      </w:r>
      <w:r w:rsidR="00B0019A">
        <w:rPr>
          <w:sz w:val="28"/>
          <w:szCs w:val="22"/>
          <w:lang w:eastAsia="ru-RU"/>
        </w:rPr>
        <w:t>25</w:t>
      </w:r>
    </w:p>
    <w:p w14:paraId="45789446" w14:textId="77777777" w:rsidR="00404DF2" w:rsidRPr="00404DF2" w:rsidRDefault="00404DF2" w:rsidP="00404DF2">
      <w:pPr>
        <w:suppressAutoHyphens w:val="0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с. Цингалы</w:t>
      </w:r>
    </w:p>
    <w:p w14:paraId="3DDD108E" w14:textId="77777777" w:rsidR="00BD0B28" w:rsidRDefault="00BD0B28">
      <w:pPr>
        <w:tabs>
          <w:tab w:val="left" w:pos="7938"/>
        </w:tabs>
        <w:jc w:val="both"/>
        <w:rPr>
          <w:sz w:val="24"/>
          <w:szCs w:val="24"/>
        </w:rPr>
      </w:pPr>
    </w:p>
    <w:p w14:paraId="64D0EA3B" w14:textId="0F4821A5" w:rsidR="00BD0B28" w:rsidRPr="00404DF2" w:rsidRDefault="00C91D6B" w:rsidP="00C91D6B">
      <w:pPr>
        <w:tabs>
          <w:tab w:val="left" w:pos="6237"/>
          <w:tab w:val="left" w:pos="6804"/>
        </w:tabs>
        <w:ind w:right="3402"/>
        <w:jc w:val="both"/>
        <w:rPr>
          <w:sz w:val="28"/>
          <w:szCs w:val="28"/>
        </w:rPr>
      </w:pPr>
      <w:r w:rsidRPr="00C91D6B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</w:t>
      </w:r>
      <w:r w:rsidRPr="00C91D6B">
        <w:rPr>
          <w:sz w:val="28"/>
          <w:szCs w:val="28"/>
        </w:rPr>
        <w:t xml:space="preserve"> </w:t>
      </w:r>
      <w:r w:rsidR="008C4F47">
        <w:rPr>
          <w:sz w:val="28"/>
          <w:szCs w:val="28"/>
        </w:rPr>
        <w:t xml:space="preserve">постановление </w:t>
      </w:r>
      <w:r w:rsidR="008C4F47" w:rsidRPr="00C91D6B">
        <w:rPr>
          <w:sz w:val="28"/>
          <w:szCs w:val="28"/>
        </w:rPr>
        <w:t xml:space="preserve">администрации сельского поселения </w:t>
      </w:r>
      <w:r w:rsidR="008C4F47">
        <w:rPr>
          <w:sz w:val="28"/>
          <w:szCs w:val="28"/>
        </w:rPr>
        <w:t>Цингалы</w:t>
      </w:r>
      <w:r w:rsidR="008C4F47" w:rsidRPr="00C91D6B">
        <w:rPr>
          <w:sz w:val="28"/>
          <w:szCs w:val="28"/>
        </w:rPr>
        <w:t xml:space="preserve"> от 23.12.2022 № </w:t>
      </w:r>
      <w:r w:rsidR="008C4F47">
        <w:rPr>
          <w:sz w:val="28"/>
          <w:szCs w:val="28"/>
        </w:rPr>
        <w:t>123</w:t>
      </w:r>
      <w:r w:rsidR="008C4F47">
        <w:rPr>
          <w:sz w:val="28"/>
          <w:szCs w:val="28"/>
        </w:rPr>
        <w:t xml:space="preserve"> «</w:t>
      </w:r>
      <w:r w:rsidR="008C4F47" w:rsidRPr="008C4F47">
        <w:rPr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8C4F47">
        <w:rPr>
          <w:sz w:val="28"/>
          <w:szCs w:val="28"/>
        </w:rPr>
        <w:t>»</w:t>
      </w:r>
    </w:p>
    <w:p w14:paraId="3DB6C0AF" w14:textId="77777777" w:rsidR="00BD0B28" w:rsidRDefault="00BD0B28">
      <w:pPr>
        <w:jc w:val="both"/>
        <w:rPr>
          <w:sz w:val="28"/>
          <w:szCs w:val="28"/>
        </w:rPr>
      </w:pPr>
    </w:p>
    <w:p w14:paraId="270ADEF4" w14:textId="77777777" w:rsidR="0039045D" w:rsidRDefault="00C91D6B" w:rsidP="0039045D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91D6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недвижимости», руководствуясь Уставом сельского поселения </w:t>
      </w:r>
      <w:r>
        <w:rPr>
          <w:sz w:val="28"/>
          <w:szCs w:val="28"/>
        </w:rPr>
        <w:t>Цингалы</w:t>
      </w:r>
      <w:r w:rsidR="00625017">
        <w:rPr>
          <w:sz w:val="28"/>
          <w:szCs w:val="28"/>
        </w:rPr>
        <w:t>,</w:t>
      </w:r>
      <w:r w:rsidR="00625017" w:rsidRPr="00625017">
        <w:t xml:space="preserve"> </w:t>
      </w:r>
      <w:r w:rsidR="00625017" w:rsidRPr="00625017">
        <w:rPr>
          <w:sz w:val="28"/>
          <w:szCs w:val="28"/>
        </w:rPr>
        <w:t>постановлением администрации сельского поселения Цингалы от 23.04.2019 № 38 «Об утверждении Порядка разработки и утверждения административных регламентов предоставления муниципальных услуг»</w:t>
      </w:r>
      <w:r w:rsidR="00BD0B28" w:rsidRPr="00404DF2">
        <w:rPr>
          <w:sz w:val="28"/>
          <w:szCs w:val="28"/>
        </w:rPr>
        <w:t xml:space="preserve">, </w:t>
      </w:r>
    </w:p>
    <w:p w14:paraId="67180743" w14:textId="77777777" w:rsidR="0039045D" w:rsidRDefault="0039045D" w:rsidP="0039045D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1FDB8044" w14:textId="3178D7A6" w:rsidR="00C91D6B" w:rsidRDefault="00AA1B58" w:rsidP="006E1C97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сельского поселения </w:t>
      </w:r>
      <w:r>
        <w:rPr>
          <w:sz w:val="28"/>
          <w:szCs w:val="28"/>
        </w:rPr>
        <w:t>Цингалы</w:t>
      </w:r>
      <w:r w:rsidRPr="00AA1B58">
        <w:rPr>
          <w:sz w:val="28"/>
          <w:szCs w:val="28"/>
        </w:rPr>
        <w:t xml:space="preserve"> от 23.12.2022 № </w:t>
      </w:r>
      <w:r>
        <w:rPr>
          <w:sz w:val="28"/>
          <w:szCs w:val="28"/>
        </w:rPr>
        <w:t>123</w:t>
      </w:r>
      <w:r w:rsidR="00C91D6B">
        <w:rPr>
          <w:sz w:val="28"/>
          <w:szCs w:val="28"/>
        </w:rPr>
        <w:t xml:space="preserve"> </w:t>
      </w:r>
      <w:r w:rsidR="00C91D6B" w:rsidRPr="00C91D6B">
        <w:rPr>
          <w:sz w:val="28"/>
          <w:szCs w:val="28"/>
        </w:rPr>
        <w:t>(далее – Регламент), следующие изменения:</w:t>
      </w:r>
    </w:p>
    <w:p w14:paraId="03914E52" w14:textId="07AB8D61" w:rsidR="0099601B" w:rsidRDefault="008C4F47" w:rsidP="008C4F47">
      <w:pPr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hanging="294"/>
        <w:jc w:val="both"/>
        <w:rPr>
          <w:sz w:val="28"/>
          <w:szCs w:val="28"/>
        </w:rPr>
      </w:pPr>
      <w:r w:rsidRPr="008C4F47">
        <w:rPr>
          <w:sz w:val="28"/>
          <w:szCs w:val="28"/>
        </w:rPr>
        <w:t xml:space="preserve">пункт 3.1. Регламента дополнить подпунктом </w:t>
      </w:r>
      <w:r w:rsidR="00AA1B58">
        <w:rPr>
          <w:sz w:val="28"/>
          <w:szCs w:val="28"/>
        </w:rPr>
        <w:t>6</w:t>
      </w:r>
      <w:r w:rsidRPr="008C4F47">
        <w:rPr>
          <w:sz w:val="28"/>
          <w:szCs w:val="28"/>
        </w:rPr>
        <w:t xml:space="preserve"> следующего содержания:</w:t>
      </w:r>
    </w:p>
    <w:p w14:paraId="4F48B588" w14:textId="5A91C3BB" w:rsidR="00AA1B58" w:rsidRPr="00AA1B58" w:rsidRDefault="00AA1B58" w:rsidP="00AA1B5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«6) </w:t>
      </w:r>
      <w:r w:rsidRPr="00AA1B58">
        <w:rPr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78763F2E" w14:textId="6FA60D18" w:rsidR="0099601B" w:rsidRDefault="00AA1B58" w:rsidP="00AA1B5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B58">
        <w:rPr>
          <w:sz w:val="28"/>
          <w:szCs w:val="28"/>
        </w:rPr>
        <w:t xml:space="preserve">По окончании указанных в части 8 Жилищного кодекса РФ переустройства, и (или) перепланировки, и (или) иных работ заявитель направляет уведомление о </w:t>
      </w:r>
      <w:r w:rsidRPr="00AA1B58">
        <w:rPr>
          <w:sz w:val="28"/>
          <w:szCs w:val="28"/>
        </w:rPr>
        <w:lastRenderedPageBreak/>
        <w:t xml:space="preserve">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№ 218-ФЗ «О государственной регистрации недвижимости». Завершение указанных в части 8 Жилищного кодекса РФ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>
        <w:rPr>
          <w:sz w:val="28"/>
          <w:szCs w:val="28"/>
        </w:rPr>
        <w:t>–</w:t>
      </w:r>
      <w:r w:rsidRPr="00AA1B58">
        <w:rPr>
          <w:sz w:val="28"/>
          <w:szCs w:val="28"/>
        </w:rPr>
        <w:t xml:space="preserve">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</w:t>
      </w:r>
    </w:p>
    <w:p w14:paraId="40A35A4F" w14:textId="77777777" w:rsidR="00AA1B58" w:rsidRDefault="00AA1B58" w:rsidP="00AA1B5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09CFFE31" w14:textId="3284E38F" w:rsidR="00AA1B58" w:rsidRDefault="00404DF2" w:rsidP="00AA1B5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4DF2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2F1AA47D" w14:textId="77777777" w:rsidR="00AA1B58" w:rsidRDefault="00AA1B58" w:rsidP="00AA1B58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E15FA7A" w14:textId="115F230A" w:rsidR="00404DF2" w:rsidRPr="00AA1B58" w:rsidRDefault="00404DF2" w:rsidP="00AA1B5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3C36FF40" w14:textId="77777777" w:rsidR="00404DF2" w:rsidRPr="00404DF2" w:rsidRDefault="00404DF2" w:rsidP="0039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B076E" w14:textId="77777777" w:rsidR="00404DF2" w:rsidRDefault="00404DF2" w:rsidP="0039045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788BDE2" w14:textId="77777777" w:rsidR="00404DF2" w:rsidRPr="00404DF2" w:rsidRDefault="00404DF2" w:rsidP="00404DF2">
      <w:pPr>
        <w:autoSpaceDE w:val="0"/>
        <w:autoSpaceDN w:val="0"/>
        <w:adjustRightInd w:val="0"/>
        <w:rPr>
          <w:sz w:val="28"/>
          <w:szCs w:val="28"/>
        </w:rPr>
      </w:pPr>
    </w:p>
    <w:p w14:paraId="03E9666A" w14:textId="77777777" w:rsidR="00404DF2" w:rsidRPr="00404DF2" w:rsidRDefault="00404DF2" w:rsidP="00404DF2">
      <w:pPr>
        <w:autoSpaceDE w:val="0"/>
        <w:autoSpaceDN w:val="0"/>
        <w:adjustRightInd w:val="0"/>
        <w:rPr>
          <w:sz w:val="28"/>
          <w:szCs w:val="28"/>
        </w:rPr>
      </w:pPr>
    </w:p>
    <w:p w14:paraId="493A5B35" w14:textId="04A02994" w:rsidR="00BD0B28" w:rsidRPr="00AA1B58" w:rsidRDefault="00404DF2" w:rsidP="00AA1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1B58">
        <w:rPr>
          <w:sz w:val="28"/>
          <w:szCs w:val="28"/>
        </w:rPr>
        <w:t>Врио г</w:t>
      </w:r>
      <w:r w:rsidRPr="00404DF2">
        <w:rPr>
          <w:sz w:val="28"/>
          <w:szCs w:val="28"/>
        </w:rPr>
        <w:t>лав</w:t>
      </w:r>
      <w:r w:rsidR="00AA1B58">
        <w:rPr>
          <w:sz w:val="28"/>
          <w:szCs w:val="28"/>
        </w:rPr>
        <w:t>ы</w:t>
      </w:r>
      <w:r w:rsidRPr="00404DF2">
        <w:rPr>
          <w:sz w:val="28"/>
          <w:szCs w:val="28"/>
        </w:rPr>
        <w:t xml:space="preserve"> сельского поселения</w:t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proofErr w:type="gramStart"/>
      <w:r w:rsidRPr="00404DF2">
        <w:rPr>
          <w:sz w:val="28"/>
          <w:szCs w:val="28"/>
        </w:rPr>
        <w:tab/>
      </w:r>
      <w:r w:rsidR="0039045D">
        <w:rPr>
          <w:sz w:val="28"/>
          <w:szCs w:val="28"/>
        </w:rPr>
        <w:t xml:space="preserve">  </w:t>
      </w:r>
      <w:r w:rsidRPr="00404DF2">
        <w:rPr>
          <w:sz w:val="28"/>
          <w:szCs w:val="28"/>
        </w:rPr>
        <w:t>А.</w:t>
      </w:r>
      <w:r w:rsidR="00AA1B58">
        <w:rPr>
          <w:sz w:val="28"/>
          <w:szCs w:val="28"/>
        </w:rPr>
        <w:t>В</w:t>
      </w:r>
      <w:r w:rsidRPr="00404DF2">
        <w:rPr>
          <w:sz w:val="28"/>
          <w:szCs w:val="28"/>
        </w:rPr>
        <w:t>.</w:t>
      </w:r>
      <w:r w:rsidR="00AA1B58">
        <w:rPr>
          <w:sz w:val="28"/>
          <w:szCs w:val="28"/>
        </w:rPr>
        <w:t>Малюгин</w:t>
      </w:r>
      <w:proofErr w:type="gramEnd"/>
    </w:p>
    <w:sectPr w:rsidR="00BD0B28" w:rsidRPr="00AA1B58">
      <w:pgSz w:w="11906" w:h="16838"/>
      <w:pgMar w:top="1134" w:right="566" w:bottom="1276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077F"/>
    <w:multiLevelType w:val="multilevel"/>
    <w:tmpl w:val="75024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5E5010"/>
    <w:multiLevelType w:val="multilevel"/>
    <w:tmpl w:val="74E26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BC5F59"/>
    <w:multiLevelType w:val="multilevel"/>
    <w:tmpl w:val="3BBC5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6B"/>
    <w:rsid w:val="000014C3"/>
    <w:rsid w:val="00002751"/>
    <w:rsid w:val="000055BD"/>
    <w:rsid w:val="00007705"/>
    <w:rsid w:val="00012F35"/>
    <w:rsid w:val="00022B52"/>
    <w:rsid w:val="00026CCB"/>
    <w:rsid w:val="00046C18"/>
    <w:rsid w:val="00054C60"/>
    <w:rsid w:val="00055F78"/>
    <w:rsid w:val="00066419"/>
    <w:rsid w:val="0006742F"/>
    <w:rsid w:val="000713DF"/>
    <w:rsid w:val="0007398F"/>
    <w:rsid w:val="0009784C"/>
    <w:rsid w:val="000B5725"/>
    <w:rsid w:val="000C1484"/>
    <w:rsid w:val="000C2EA5"/>
    <w:rsid w:val="000F6681"/>
    <w:rsid w:val="0010401B"/>
    <w:rsid w:val="00105143"/>
    <w:rsid w:val="001251D2"/>
    <w:rsid w:val="001257C7"/>
    <w:rsid w:val="00133716"/>
    <w:rsid w:val="001347D7"/>
    <w:rsid w:val="001356EA"/>
    <w:rsid w:val="00136733"/>
    <w:rsid w:val="00137AF3"/>
    <w:rsid w:val="001405CB"/>
    <w:rsid w:val="00140D6B"/>
    <w:rsid w:val="00143B83"/>
    <w:rsid w:val="001468AA"/>
    <w:rsid w:val="0015628A"/>
    <w:rsid w:val="00162639"/>
    <w:rsid w:val="001655A8"/>
    <w:rsid w:val="00165E9E"/>
    <w:rsid w:val="00176C9C"/>
    <w:rsid w:val="00180011"/>
    <w:rsid w:val="0018017D"/>
    <w:rsid w:val="001816BA"/>
    <w:rsid w:val="00182CA0"/>
    <w:rsid w:val="00184ECA"/>
    <w:rsid w:val="00190EF0"/>
    <w:rsid w:val="00191C13"/>
    <w:rsid w:val="001A01A7"/>
    <w:rsid w:val="001A2546"/>
    <w:rsid w:val="001A6B34"/>
    <w:rsid w:val="001B17C2"/>
    <w:rsid w:val="001B5385"/>
    <w:rsid w:val="001D74F6"/>
    <w:rsid w:val="001E0590"/>
    <w:rsid w:val="001E07F6"/>
    <w:rsid w:val="0021066C"/>
    <w:rsid w:val="00212C0F"/>
    <w:rsid w:val="0021641A"/>
    <w:rsid w:val="002178D8"/>
    <w:rsid w:val="00222EDE"/>
    <w:rsid w:val="00224E69"/>
    <w:rsid w:val="00235695"/>
    <w:rsid w:val="002479A0"/>
    <w:rsid w:val="00250C04"/>
    <w:rsid w:val="00253609"/>
    <w:rsid w:val="00256A87"/>
    <w:rsid w:val="00256B7C"/>
    <w:rsid w:val="00271EA8"/>
    <w:rsid w:val="0028001C"/>
    <w:rsid w:val="00283200"/>
    <w:rsid w:val="00285C61"/>
    <w:rsid w:val="00296E8C"/>
    <w:rsid w:val="002A6F66"/>
    <w:rsid w:val="002B1B5D"/>
    <w:rsid w:val="002B1D78"/>
    <w:rsid w:val="002D074D"/>
    <w:rsid w:val="002D3167"/>
    <w:rsid w:val="002D7CC8"/>
    <w:rsid w:val="002F0D74"/>
    <w:rsid w:val="002F1138"/>
    <w:rsid w:val="002F2838"/>
    <w:rsid w:val="002F5129"/>
    <w:rsid w:val="0030315B"/>
    <w:rsid w:val="0032669E"/>
    <w:rsid w:val="00333EE7"/>
    <w:rsid w:val="00334726"/>
    <w:rsid w:val="00342811"/>
    <w:rsid w:val="0035393C"/>
    <w:rsid w:val="00361FE4"/>
    <w:rsid w:val="003642AD"/>
    <w:rsid w:val="00364965"/>
    <w:rsid w:val="00366676"/>
    <w:rsid w:val="0037056B"/>
    <w:rsid w:val="00372D37"/>
    <w:rsid w:val="00373ADE"/>
    <w:rsid w:val="003770DA"/>
    <w:rsid w:val="00377EC1"/>
    <w:rsid w:val="00381335"/>
    <w:rsid w:val="00387305"/>
    <w:rsid w:val="00387E57"/>
    <w:rsid w:val="003903B0"/>
    <w:rsid w:val="0039045D"/>
    <w:rsid w:val="003920EB"/>
    <w:rsid w:val="003A59D2"/>
    <w:rsid w:val="003C291D"/>
    <w:rsid w:val="003D688F"/>
    <w:rsid w:val="003E50DB"/>
    <w:rsid w:val="003E5F6F"/>
    <w:rsid w:val="003F0EB7"/>
    <w:rsid w:val="00404DF2"/>
    <w:rsid w:val="00420538"/>
    <w:rsid w:val="00423003"/>
    <w:rsid w:val="00425DBB"/>
    <w:rsid w:val="00432FFF"/>
    <w:rsid w:val="00437911"/>
    <w:rsid w:val="00440394"/>
    <w:rsid w:val="004411AE"/>
    <w:rsid w:val="0045664E"/>
    <w:rsid w:val="00463920"/>
    <w:rsid w:val="0047054E"/>
    <w:rsid w:val="0047482D"/>
    <w:rsid w:val="00474BFF"/>
    <w:rsid w:val="00477188"/>
    <w:rsid w:val="00492E1C"/>
    <w:rsid w:val="004949E3"/>
    <w:rsid w:val="004957E0"/>
    <w:rsid w:val="004968DA"/>
    <w:rsid w:val="00497534"/>
    <w:rsid w:val="004A11FB"/>
    <w:rsid w:val="004A4636"/>
    <w:rsid w:val="004A4F59"/>
    <w:rsid w:val="004B0DBB"/>
    <w:rsid w:val="004B3D9C"/>
    <w:rsid w:val="004B7390"/>
    <w:rsid w:val="004C013D"/>
    <w:rsid w:val="004C34DA"/>
    <w:rsid w:val="004C37D9"/>
    <w:rsid w:val="004C5C50"/>
    <w:rsid w:val="004C6A75"/>
    <w:rsid w:val="004D6109"/>
    <w:rsid w:val="004E3875"/>
    <w:rsid w:val="004E53F4"/>
    <w:rsid w:val="004E755C"/>
    <w:rsid w:val="004F7EF9"/>
    <w:rsid w:val="00500FDD"/>
    <w:rsid w:val="00510950"/>
    <w:rsid w:val="00512113"/>
    <w:rsid w:val="0053042A"/>
    <w:rsid w:val="0053339B"/>
    <w:rsid w:val="00534CA4"/>
    <w:rsid w:val="00535316"/>
    <w:rsid w:val="00537B99"/>
    <w:rsid w:val="0054459B"/>
    <w:rsid w:val="005476C2"/>
    <w:rsid w:val="00551E6B"/>
    <w:rsid w:val="00556446"/>
    <w:rsid w:val="00560924"/>
    <w:rsid w:val="00561965"/>
    <w:rsid w:val="00567959"/>
    <w:rsid w:val="00571EC7"/>
    <w:rsid w:val="0057264C"/>
    <w:rsid w:val="00574720"/>
    <w:rsid w:val="005766F2"/>
    <w:rsid w:val="005932B0"/>
    <w:rsid w:val="00597B35"/>
    <w:rsid w:val="005A70A7"/>
    <w:rsid w:val="005C7796"/>
    <w:rsid w:val="005D6D88"/>
    <w:rsid w:val="005E7CE6"/>
    <w:rsid w:val="00604F55"/>
    <w:rsid w:val="00614AEA"/>
    <w:rsid w:val="00617FD4"/>
    <w:rsid w:val="006209F4"/>
    <w:rsid w:val="00620B07"/>
    <w:rsid w:val="00624190"/>
    <w:rsid w:val="00624363"/>
    <w:rsid w:val="006248E0"/>
    <w:rsid w:val="00625017"/>
    <w:rsid w:val="006328B2"/>
    <w:rsid w:val="0063624E"/>
    <w:rsid w:val="00636724"/>
    <w:rsid w:val="00643909"/>
    <w:rsid w:val="006466CC"/>
    <w:rsid w:val="00651FE9"/>
    <w:rsid w:val="0065328E"/>
    <w:rsid w:val="00657217"/>
    <w:rsid w:val="00673101"/>
    <w:rsid w:val="00682D9D"/>
    <w:rsid w:val="0068636B"/>
    <w:rsid w:val="00691174"/>
    <w:rsid w:val="00694EB5"/>
    <w:rsid w:val="006A71A7"/>
    <w:rsid w:val="006A71CA"/>
    <w:rsid w:val="006B1887"/>
    <w:rsid w:val="006B1B1F"/>
    <w:rsid w:val="006B3EE9"/>
    <w:rsid w:val="006B3FA0"/>
    <w:rsid w:val="006B5AEC"/>
    <w:rsid w:val="006C19BA"/>
    <w:rsid w:val="006C3670"/>
    <w:rsid w:val="006E1C97"/>
    <w:rsid w:val="006F0FC3"/>
    <w:rsid w:val="006F18B8"/>
    <w:rsid w:val="006F425C"/>
    <w:rsid w:val="006F6444"/>
    <w:rsid w:val="00713C1C"/>
    <w:rsid w:val="007268A4"/>
    <w:rsid w:val="00740E86"/>
    <w:rsid w:val="007536CD"/>
    <w:rsid w:val="00755B34"/>
    <w:rsid w:val="00771073"/>
    <w:rsid w:val="00785379"/>
    <w:rsid w:val="00790879"/>
    <w:rsid w:val="007A3E7A"/>
    <w:rsid w:val="007A533F"/>
    <w:rsid w:val="007C1D82"/>
    <w:rsid w:val="007C24BF"/>
    <w:rsid w:val="007C75D8"/>
    <w:rsid w:val="007D1DC0"/>
    <w:rsid w:val="007D5A8E"/>
    <w:rsid w:val="007E29A5"/>
    <w:rsid w:val="007F40CF"/>
    <w:rsid w:val="007F4A15"/>
    <w:rsid w:val="00805E00"/>
    <w:rsid w:val="00822B92"/>
    <w:rsid w:val="008267F4"/>
    <w:rsid w:val="0082736D"/>
    <w:rsid w:val="00827C02"/>
    <w:rsid w:val="008401E8"/>
    <w:rsid w:val="0084138E"/>
    <w:rsid w:val="0084625D"/>
    <w:rsid w:val="008478F4"/>
    <w:rsid w:val="0085151F"/>
    <w:rsid w:val="00857887"/>
    <w:rsid w:val="00874C9D"/>
    <w:rsid w:val="00875244"/>
    <w:rsid w:val="008756F6"/>
    <w:rsid w:val="00886003"/>
    <w:rsid w:val="008A0772"/>
    <w:rsid w:val="008A1803"/>
    <w:rsid w:val="008C239C"/>
    <w:rsid w:val="008C407D"/>
    <w:rsid w:val="008C4222"/>
    <w:rsid w:val="008C4F47"/>
    <w:rsid w:val="008C71EB"/>
    <w:rsid w:val="008D5EDC"/>
    <w:rsid w:val="008E216B"/>
    <w:rsid w:val="008E43FD"/>
    <w:rsid w:val="008F158C"/>
    <w:rsid w:val="00900B66"/>
    <w:rsid w:val="00900F92"/>
    <w:rsid w:val="00906884"/>
    <w:rsid w:val="00906A3D"/>
    <w:rsid w:val="00913E93"/>
    <w:rsid w:val="00914417"/>
    <w:rsid w:val="009149D7"/>
    <w:rsid w:val="00914F2A"/>
    <w:rsid w:val="009233E1"/>
    <w:rsid w:val="009307C1"/>
    <w:rsid w:val="0093178F"/>
    <w:rsid w:val="00933D45"/>
    <w:rsid w:val="00953E9C"/>
    <w:rsid w:val="009701EF"/>
    <w:rsid w:val="0097026B"/>
    <w:rsid w:val="009707EE"/>
    <w:rsid w:val="00981D76"/>
    <w:rsid w:val="00981F92"/>
    <w:rsid w:val="009824B8"/>
    <w:rsid w:val="009856D0"/>
    <w:rsid w:val="0099601B"/>
    <w:rsid w:val="009C429C"/>
    <w:rsid w:val="009C49B5"/>
    <w:rsid w:val="009C4E86"/>
    <w:rsid w:val="009E3573"/>
    <w:rsid w:val="009F5CE3"/>
    <w:rsid w:val="009F7184"/>
    <w:rsid w:val="00A03984"/>
    <w:rsid w:val="00A03B27"/>
    <w:rsid w:val="00A04E59"/>
    <w:rsid w:val="00A1579C"/>
    <w:rsid w:val="00A16F3E"/>
    <w:rsid w:val="00A33B82"/>
    <w:rsid w:val="00A33E61"/>
    <w:rsid w:val="00A354B4"/>
    <w:rsid w:val="00A36BC4"/>
    <w:rsid w:val="00A36D4E"/>
    <w:rsid w:val="00A4337E"/>
    <w:rsid w:val="00A436DF"/>
    <w:rsid w:val="00A45BE4"/>
    <w:rsid w:val="00A471A4"/>
    <w:rsid w:val="00A51952"/>
    <w:rsid w:val="00A53452"/>
    <w:rsid w:val="00A56F90"/>
    <w:rsid w:val="00A62AA9"/>
    <w:rsid w:val="00A62D88"/>
    <w:rsid w:val="00A65043"/>
    <w:rsid w:val="00A66F9B"/>
    <w:rsid w:val="00A87637"/>
    <w:rsid w:val="00A92236"/>
    <w:rsid w:val="00AA0804"/>
    <w:rsid w:val="00AA1B58"/>
    <w:rsid w:val="00AA7639"/>
    <w:rsid w:val="00AB09E1"/>
    <w:rsid w:val="00AB1D87"/>
    <w:rsid w:val="00AB347E"/>
    <w:rsid w:val="00AC4ECC"/>
    <w:rsid w:val="00AD24E2"/>
    <w:rsid w:val="00AD29B5"/>
    <w:rsid w:val="00AD77E7"/>
    <w:rsid w:val="00AF5E80"/>
    <w:rsid w:val="00AF75FC"/>
    <w:rsid w:val="00B0019A"/>
    <w:rsid w:val="00B011C9"/>
    <w:rsid w:val="00B043E1"/>
    <w:rsid w:val="00B1180B"/>
    <w:rsid w:val="00B14AF7"/>
    <w:rsid w:val="00B233FD"/>
    <w:rsid w:val="00B2609A"/>
    <w:rsid w:val="00B269D7"/>
    <w:rsid w:val="00B303B1"/>
    <w:rsid w:val="00B3056F"/>
    <w:rsid w:val="00B31A1A"/>
    <w:rsid w:val="00B322F8"/>
    <w:rsid w:val="00B431D7"/>
    <w:rsid w:val="00B50B44"/>
    <w:rsid w:val="00B564A1"/>
    <w:rsid w:val="00B5705A"/>
    <w:rsid w:val="00B6470F"/>
    <w:rsid w:val="00B700E6"/>
    <w:rsid w:val="00B72308"/>
    <w:rsid w:val="00B753EC"/>
    <w:rsid w:val="00B8370B"/>
    <w:rsid w:val="00B84DE5"/>
    <w:rsid w:val="00B91EF8"/>
    <w:rsid w:val="00B952E3"/>
    <w:rsid w:val="00BD0B28"/>
    <w:rsid w:val="00BD7EE5"/>
    <w:rsid w:val="00BE172E"/>
    <w:rsid w:val="00BE1CAB"/>
    <w:rsid w:val="00BE3428"/>
    <w:rsid w:val="00BE5397"/>
    <w:rsid w:val="00BE5D0C"/>
    <w:rsid w:val="00BF7B54"/>
    <w:rsid w:val="00C1591D"/>
    <w:rsid w:val="00C179FC"/>
    <w:rsid w:val="00C26076"/>
    <w:rsid w:val="00C26832"/>
    <w:rsid w:val="00C322E7"/>
    <w:rsid w:val="00C331AF"/>
    <w:rsid w:val="00C402DC"/>
    <w:rsid w:val="00C405C8"/>
    <w:rsid w:val="00C41B10"/>
    <w:rsid w:val="00C42C6F"/>
    <w:rsid w:val="00C47488"/>
    <w:rsid w:val="00C5556E"/>
    <w:rsid w:val="00C56BA3"/>
    <w:rsid w:val="00C70B1B"/>
    <w:rsid w:val="00C8300A"/>
    <w:rsid w:val="00C91D6B"/>
    <w:rsid w:val="00CB45BB"/>
    <w:rsid w:val="00CB70DF"/>
    <w:rsid w:val="00CB739F"/>
    <w:rsid w:val="00CC033B"/>
    <w:rsid w:val="00CC5FEF"/>
    <w:rsid w:val="00CD0795"/>
    <w:rsid w:val="00CD393A"/>
    <w:rsid w:val="00CE2A5A"/>
    <w:rsid w:val="00CF5D57"/>
    <w:rsid w:val="00D00434"/>
    <w:rsid w:val="00D01A38"/>
    <w:rsid w:val="00D07303"/>
    <w:rsid w:val="00D13970"/>
    <w:rsid w:val="00D17017"/>
    <w:rsid w:val="00D17CFF"/>
    <w:rsid w:val="00D24788"/>
    <w:rsid w:val="00D30458"/>
    <w:rsid w:val="00D3103C"/>
    <w:rsid w:val="00D33CCB"/>
    <w:rsid w:val="00D35157"/>
    <w:rsid w:val="00D420FC"/>
    <w:rsid w:val="00D517F3"/>
    <w:rsid w:val="00D52F94"/>
    <w:rsid w:val="00D6114D"/>
    <w:rsid w:val="00D61D0D"/>
    <w:rsid w:val="00D6571C"/>
    <w:rsid w:val="00D748A2"/>
    <w:rsid w:val="00D86E62"/>
    <w:rsid w:val="00D8706B"/>
    <w:rsid w:val="00DA3223"/>
    <w:rsid w:val="00DA450B"/>
    <w:rsid w:val="00DA6AD5"/>
    <w:rsid w:val="00DB41E7"/>
    <w:rsid w:val="00DB4F28"/>
    <w:rsid w:val="00DC653D"/>
    <w:rsid w:val="00DD06FF"/>
    <w:rsid w:val="00DD1BE2"/>
    <w:rsid w:val="00DD3187"/>
    <w:rsid w:val="00DE3A25"/>
    <w:rsid w:val="00DE48DF"/>
    <w:rsid w:val="00DE599C"/>
    <w:rsid w:val="00DE7940"/>
    <w:rsid w:val="00DF656F"/>
    <w:rsid w:val="00E04404"/>
    <w:rsid w:val="00E206BC"/>
    <w:rsid w:val="00E37E17"/>
    <w:rsid w:val="00E41DC8"/>
    <w:rsid w:val="00E4261C"/>
    <w:rsid w:val="00E427CD"/>
    <w:rsid w:val="00E512C2"/>
    <w:rsid w:val="00E52ABD"/>
    <w:rsid w:val="00E60754"/>
    <w:rsid w:val="00E62206"/>
    <w:rsid w:val="00E70010"/>
    <w:rsid w:val="00E74DD3"/>
    <w:rsid w:val="00E81E56"/>
    <w:rsid w:val="00E864FB"/>
    <w:rsid w:val="00E91200"/>
    <w:rsid w:val="00EA669C"/>
    <w:rsid w:val="00EB111D"/>
    <w:rsid w:val="00EC3B75"/>
    <w:rsid w:val="00EC794D"/>
    <w:rsid w:val="00ED0F68"/>
    <w:rsid w:val="00ED117A"/>
    <w:rsid w:val="00ED63F5"/>
    <w:rsid w:val="00EF19B1"/>
    <w:rsid w:val="00EF4620"/>
    <w:rsid w:val="00EF61F3"/>
    <w:rsid w:val="00F11B4F"/>
    <w:rsid w:val="00F11E81"/>
    <w:rsid w:val="00F13853"/>
    <w:rsid w:val="00F17008"/>
    <w:rsid w:val="00F24726"/>
    <w:rsid w:val="00F33869"/>
    <w:rsid w:val="00F33996"/>
    <w:rsid w:val="00F35548"/>
    <w:rsid w:val="00F507C1"/>
    <w:rsid w:val="00F51B65"/>
    <w:rsid w:val="00F52A75"/>
    <w:rsid w:val="00F5799A"/>
    <w:rsid w:val="00F60F6D"/>
    <w:rsid w:val="00F631EA"/>
    <w:rsid w:val="00F639D4"/>
    <w:rsid w:val="00F6410F"/>
    <w:rsid w:val="00F86C08"/>
    <w:rsid w:val="00F87F7A"/>
    <w:rsid w:val="00F916D0"/>
    <w:rsid w:val="00F930E6"/>
    <w:rsid w:val="00FA2C75"/>
    <w:rsid w:val="00FA6FE7"/>
    <w:rsid w:val="00FA71ED"/>
    <w:rsid w:val="00FB6930"/>
    <w:rsid w:val="00FB755F"/>
    <w:rsid w:val="00FC4AD2"/>
    <w:rsid w:val="00FD3DE7"/>
    <w:rsid w:val="00FD5A89"/>
    <w:rsid w:val="00FE619E"/>
    <w:rsid w:val="00FF6301"/>
    <w:rsid w:val="097415A1"/>
    <w:rsid w:val="28081932"/>
    <w:rsid w:val="4B7E0EDF"/>
    <w:rsid w:val="62904E5C"/>
    <w:rsid w:val="7B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921BEF"/>
  <w15:chartTrackingRefBased/>
  <w15:docId w15:val="{5AFC0347-A869-4146-90A7-0CD5B6F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20"/>
      </w:tabs>
      <w:ind w:left="720" w:hanging="720"/>
      <w:outlineLvl w:val="2"/>
    </w:pPr>
    <w:rPr>
      <w:rFonts w:eastAsia="Calibri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sz w:val="24"/>
      <w:szCs w:val="22"/>
      <w:lang w:eastAsia="en-US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7">
    <w:name w:val="footnote text"/>
    <w:basedOn w:val="a"/>
    <w:link w:val="a8"/>
    <w:uiPriority w:val="99"/>
    <w:unhideWhenUsed/>
    <w:pPr>
      <w:suppressAutoHyphens w:val="0"/>
    </w:pPr>
  </w:style>
  <w:style w:type="character" w:customStyle="1" w:styleId="a8">
    <w:name w:val="Текст сноски Знак"/>
    <w:link w:val="a7"/>
    <w:uiPriority w:val="99"/>
    <w:semiHidden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lang w:eastAsia="ar-SA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link w:val="ab"/>
    <w:semiHidden/>
    <w:rPr>
      <w:rFonts w:ascii="Times New Roman" w:eastAsia="Times New Roman" w:hAnsi="Times New Roman"/>
      <w:lang w:eastAsia="ar-SA"/>
    </w:rPr>
  </w:style>
  <w:style w:type="paragraph" w:styleId="ad">
    <w:name w:val="Body Text Indent"/>
    <w:basedOn w:val="a"/>
    <w:link w:val="ae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Arial" w:hAnsi="Arial" w:cs="Arial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lang w:eastAsia="ar-SA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pPr>
      <w:ind w:left="720"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f3">
    <w:name w:val="No Spacing"/>
    <w:link w:val="af4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  <w:style w:type="character" w:styleId="af6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ConsPlusNormal0">
    <w:name w:val="       ConsPlusNormal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4464</CharactersWithSpaces>
  <SharedDoc>false</SharedDoc>
  <HLinks>
    <vt:vector size="30" baseType="variant"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https://login.consultant.ru/link/?req=doc&amp;base=LAW&amp;n=345319&amp;dst=100005&amp;field=134&amp;date=26.08.2022</vt:lpwstr>
      </vt:variant>
      <vt:variant>
        <vt:lpwstr/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2022-12-26T12:16:00Z</cp:lastPrinted>
  <dcterms:created xsi:type="dcterms:W3CDTF">2024-05-20T07:15:00Z</dcterms:created>
  <dcterms:modified xsi:type="dcterms:W3CDTF">2024-05-20T07:15:00Z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92B70A3758254D1EA404C9973A5D544B</vt:lpwstr>
  </property>
</Properties>
</file>